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9D30" w14:textId="6534811A" w:rsidR="006355C9" w:rsidRDefault="3C4DBE6A" w:rsidP="3F1E2EE9">
      <w:pPr>
        <w:pStyle w:val="Title"/>
        <w:ind w:left="0"/>
        <w:rPr>
          <w:color w:val="1F4D78"/>
        </w:rPr>
      </w:pPr>
      <w:r>
        <w:rPr>
          <w:color w:val="1F4D78"/>
        </w:rPr>
        <w:t>SPS</w:t>
      </w:r>
      <w:r>
        <w:rPr>
          <w:color w:val="1F4D78"/>
          <w:spacing w:val="-3"/>
        </w:rPr>
        <w:t xml:space="preserve"> </w:t>
      </w:r>
      <w:r>
        <w:rPr>
          <w:color w:val="1F4D78"/>
        </w:rPr>
        <w:t>Marking</w:t>
      </w:r>
      <w:r>
        <w:rPr>
          <w:color w:val="1F4D78"/>
          <w:spacing w:val="-1"/>
        </w:rPr>
        <w:t xml:space="preserve"> </w:t>
      </w:r>
      <w:r>
        <w:rPr>
          <w:color w:val="1F4D78"/>
        </w:rPr>
        <w:t>Rates</w:t>
      </w:r>
      <w:r>
        <w:rPr>
          <w:color w:val="1F4D78"/>
          <w:spacing w:val="-1"/>
        </w:rPr>
        <w:t xml:space="preserve"> </w:t>
      </w:r>
      <w:r>
        <w:rPr>
          <w:color w:val="1F4D78"/>
        </w:rPr>
        <w:t>of</w:t>
      </w:r>
      <w:r>
        <w:rPr>
          <w:color w:val="1F4D78"/>
          <w:spacing w:val="-2"/>
        </w:rPr>
        <w:t xml:space="preserve"> </w:t>
      </w:r>
      <w:r>
        <w:rPr>
          <w:color w:val="1F4D78"/>
        </w:rPr>
        <w:t>Pay:</w:t>
      </w:r>
      <w:r>
        <w:rPr>
          <w:color w:val="1F4D78"/>
          <w:spacing w:val="-3"/>
        </w:rPr>
        <w:t xml:space="preserve"> </w:t>
      </w:r>
      <w:r w:rsidR="538B82E2" w:rsidRPr="3F1E2EE9">
        <w:rPr>
          <w:color w:val="1F4D78"/>
        </w:rPr>
        <w:t>202</w:t>
      </w:r>
      <w:r w:rsidR="016308F2" w:rsidRPr="3F1E2EE9">
        <w:rPr>
          <w:color w:val="1F4D78"/>
        </w:rPr>
        <w:t>5</w:t>
      </w:r>
      <w:r w:rsidR="538B82E2" w:rsidRPr="3F1E2EE9">
        <w:rPr>
          <w:color w:val="1F4D78"/>
        </w:rPr>
        <w:t>-2</w:t>
      </w:r>
      <w:r w:rsidR="6F6BA769" w:rsidRPr="3F1E2EE9">
        <w:rPr>
          <w:color w:val="1F4D78"/>
        </w:rPr>
        <w:t>6</w:t>
      </w:r>
    </w:p>
    <w:p w14:paraId="68326CE5" w14:textId="4F848B74" w:rsidR="435C73F7" w:rsidRDefault="435C73F7" w:rsidP="25D0A405">
      <w:pPr>
        <w:pStyle w:val="BodyText"/>
        <w:spacing w:before="6"/>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7"/>
        <w:gridCol w:w="7087"/>
      </w:tblGrid>
      <w:tr w:rsidR="435C73F7" w14:paraId="07182AAF" w14:textId="77777777" w:rsidTr="513EF483">
        <w:trPr>
          <w:trHeight w:val="632"/>
        </w:trPr>
        <w:tc>
          <w:tcPr>
            <w:tcW w:w="10064" w:type="dxa"/>
            <w:gridSpan w:val="2"/>
            <w:shd w:val="clear" w:color="auto" w:fill="D0CECE"/>
          </w:tcPr>
          <w:p w14:paraId="2BEE23CD" w14:textId="4055879B" w:rsidR="435C73F7" w:rsidRDefault="00E25918" w:rsidP="002D6D03">
            <w:pPr>
              <w:pStyle w:val="TableParagraph"/>
              <w:spacing w:before="24"/>
              <w:ind w:left="-100"/>
              <w:rPr>
                <w:b/>
                <w:bCs/>
                <w:sz w:val="23"/>
                <w:szCs w:val="23"/>
              </w:rPr>
            </w:pPr>
            <w:r>
              <w:rPr>
                <w:b/>
                <w:bCs/>
                <w:sz w:val="23"/>
                <w:szCs w:val="23"/>
              </w:rPr>
              <w:t xml:space="preserve">  </w:t>
            </w:r>
            <w:r w:rsidR="435C73F7" w:rsidRPr="435C73F7">
              <w:rPr>
                <w:b/>
                <w:bCs/>
                <w:sz w:val="23"/>
                <w:szCs w:val="23"/>
              </w:rPr>
              <w:t>Marking, Assessment, and Feedback Per Item of Assessment</w:t>
            </w:r>
          </w:p>
          <w:p w14:paraId="7D4F20A2" w14:textId="1A5D8102" w:rsidR="435C73F7" w:rsidRDefault="435C73F7" w:rsidP="00E25918">
            <w:pPr>
              <w:pStyle w:val="TableParagraph"/>
              <w:spacing w:before="22"/>
              <w:ind w:left="0"/>
              <w:rPr>
                <w:b/>
                <w:bCs/>
                <w:sz w:val="23"/>
                <w:szCs w:val="23"/>
              </w:rPr>
            </w:pPr>
            <w:r w:rsidRPr="435C73F7">
              <w:rPr>
                <w:b/>
                <w:bCs/>
                <w:sz w:val="23"/>
                <w:szCs w:val="23"/>
              </w:rPr>
              <w:t>(</w:t>
            </w:r>
            <w:proofErr w:type="gramStart"/>
            <w:r w:rsidRPr="435C73F7">
              <w:rPr>
                <w:b/>
                <w:bCs/>
                <w:sz w:val="23"/>
                <w:szCs w:val="23"/>
              </w:rPr>
              <w:t>based</w:t>
            </w:r>
            <w:proofErr w:type="gramEnd"/>
            <w:r w:rsidRPr="435C73F7">
              <w:rPr>
                <w:b/>
                <w:bCs/>
                <w:sz w:val="23"/>
                <w:szCs w:val="23"/>
              </w:rPr>
              <w:t xml:space="preserve"> on maximum allowable word count as specified in course handbooks</w:t>
            </w:r>
            <w:r w:rsidR="00E25918">
              <w:rPr>
                <w:b/>
                <w:bCs/>
                <w:sz w:val="23"/>
                <w:szCs w:val="23"/>
              </w:rPr>
              <w:t>/Learn</w:t>
            </w:r>
            <w:r w:rsidRPr="435C73F7">
              <w:rPr>
                <w:b/>
                <w:bCs/>
                <w:sz w:val="23"/>
                <w:szCs w:val="23"/>
              </w:rPr>
              <w:t>)</w:t>
            </w:r>
          </w:p>
        </w:tc>
      </w:tr>
      <w:tr w:rsidR="435C73F7" w14:paraId="6F7F01BD" w14:textId="77777777" w:rsidTr="513EF483">
        <w:trPr>
          <w:trHeight w:val="454"/>
        </w:trPr>
        <w:tc>
          <w:tcPr>
            <w:tcW w:w="2977" w:type="dxa"/>
            <w:vAlign w:val="center"/>
          </w:tcPr>
          <w:p w14:paraId="75F6A56F" w14:textId="105CD208" w:rsidR="2D1EA1F6" w:rsidRPr="00B13AC4" w:rsidRDefault="722CB517" w:rsidP="000A0FCB">
            <w:r w:rsidRPr="00B13AC4">
              <w:t xml:space="preserve">0 – </w:t>
            </w:r>
            <w:r w:rsidR="6FB1611E" w:rsidRPr="00B13AC4">
              <w:t xml:space="preserve">1499 </w:t>
            </w:r>
            <w:r w:rsidRPr="00B13AC4">
              <w:t>words</w:t>
            </w:r>
          </w:p>
        </w:tc>
        <w:tc>
          <w:tcPr>
            <w:tcW w:w="7087" w:type="dxa"/>
            <w:vAlign w:val="center"/>
          </w:tcPr>
          <w:p w14:paraId="3C882477" w14:textId="25F21DFD" w:rsidR="3F1E2EE9" w:rsidRPr="00B13AC4" w:rsidRDefault="3F1E2EE9" w:rsidP="000A0FCB">
            <w:r w:rsidRPr="00B13AC4">
              <w:t>20 minutes</w:t>
            </w:r>
          </w:p>
        </w:tc>
      </w:tr>
      <w:tr w:rsidR="435C73F7" w14:paraId="2042B043" w14:textId="77777777" w:rsidTr="513EF483">
        <w:trPr>
          <w:trHeight w:val="454"/>
        </w:trPr>
        <w:tc>
          <w:tcPr>
            <w:tcW w:w="2977" w:type="dxa"/>
            <w:vAlign w:val="center"/>
          </w:tcPr>
          <w:p w14:paraId="3B1C8552" w14:textId="277BAA0C" w:rsidR="7DEEE60F" w:rsidRPr="00B13AC4" w:rsidRDefault="7DEEE60F" w:rsidP="000A0FCB">
            <w:r w:rsidRPr="00B13AC4">
              <w:t>1500</w:t>
            </w:r>
            <w:r w:rsidR="722CB517" w:rsidRPr="00B13AC4">
              <w:t xml:space="preserve"> – 1999 words</w:t>
            </w:r>
          </w:p>
        </w:tc>
        <w:tc>
          <w:tcPr>
            <w:tcW w:w="7087" w:type="dxa"/>
            <w:vAlign w:val="center"/>
          </w:tcPr>
          <w:p w14:paraId="60CB8567" w14:textId="77777777" w:rsidR="435C73F7" w:rsidRPr="00B13AC4" w:rsidRDefault="435C73F7" w:rsidP="000A0FCB">
            <w:r w:rsidRPr="00B13AC4">
              <w:t>30 minutes</w:t>
            </w:r>
          </w:p>
        </w:tc>
      </w:tr>
      <w:tr w:rsidR="435C73F7" w14:paraId="2123F0A6" w14:textId="77777777" w:rsidTr="513EF483">
        <w:trPr>
          <w:trHeight w:val="454"/>
        </w:trPr>
        <w:tc>
          <w:tcPr>
            <w:tcW w:w="2977" w:type="dxa"/>
            <w:vAlign w:val="center"/>
          </w:tcPr>
          <w:p w14:paraId="128FDC33" w14:textId="1EC175EA" w:rsidR="435C73F7" w:rsidRPr="00B13AC4" w:rsidRDefault="435C73F7" w:rsidP="000A0FCB">
            <w:r w:rsidRPr="00B13AC4">
              <w:t>2000 – 2999 words</w:t>
            </w:r>
          </w:p>
        </w:tc>
        <w:tc>
          <w:tcPr>
            <w:tcW w:w="7087" w:type="dxa"/>
            <w:vAlign w:val="center"/>
          </w:tcPr>
          <w:p w14:paraId="5EC1C1A2" w14:textId="4A778AC1" w:rsidR="435C73F7" w:rsidRPr="00B13AC4" w:rsidRDefault="435C73F7" w:rsidP="000A0FCB">
            <w:r w:rsidRPr="00B13AC4">
              <w:t>45 minutes</w:t>
            </w:r>
          </w:p>
        </w:tc>
      </w:tr>
      <w:tr w:rsidR="435C73F7" w14:paraId="40C19232" w14:textId="77777777" w:rsidTr="513EF483">
        <w:trPr>
          <w:trHeight w:val="454"/>
        </w:trPr>
        <w:tc>
          <w:tcPr>
            <w:tcW w:w="2977" w:type="dxa"/>
            <w:vAlign w:val="center"/>
          </w:tcPr>
          <w:p w14:paraId="78E45100" w14:textId="63C2AE05" w:rsidR="3F1E2EE9" w:rsidRPr="00B13AC4" w:rsidRDefault="3F1E2EE9" w:rsidP="000A0FCB">
            <w:r w:rsidRPr="00B13AC4">
              <w:t>3000 – 3999 words</w:t>
            </w:r>
          </w:p>
        </w:tc>
        <w:tc>
          <w:tcPr>
            <w:tcW w:w="7087" w:type="dxa"/>
            <w:vAlign w:val="center"/>
          </w:tcPr>
          <w:p w14:paraId="0EBFF1E0" w14:textId="311F658A" w:rsidR="3F1E2EE9" w:rsidRPr="00B13AC4" w:rsidRDefault="3F1E2EE9" w:rsidP="000A0FCB">
            <w:r w:rsidRPr="00B13AC4">
              <w:t>60 minutes</w:t>
            </w:r>
          </w:p>
        </w:tc>
      </w:tr>
      <w:tr w:rsidR="435C73F7" w14:paraId="0C5FABCE" w14:textId="77777777" w:rsidTr="513EF483">
        <w:trPr>
          <w:trHeight w:val="454"/>
        </w:trPr>
        <w:tc>
          <w:tcPr>
            <w:tcW w:w="2977" w:type="dxa"/>
            <w:vAlign w:val="center"/>
          </w:tcPr>
          <w:p w14:paraId="078D3DE9" w14:textId="22FA5507" w:rsidR="435C73F7" w:rsidRPr="00B13AC4" w:rsidRDefault="7CAFDDF1" w:rsidP="000A0FCB">
            <w:r>
              <w:t xml:space="preserve">4000 </w:t>
            </w:r>
            <w:r w:rsidR="00520C29">
              <w:t>–</w:t>
            </w:r>
            <w:r w:rsidR="6A2D7E32">
              <w:t xml:space="preserve"> 4999</w:t>
            </w:r>
            <w:r w:rsidR="00520C29">
              <w:t xml:space="preserve"> words</w:t>
            </w:r>
          </w:p>
        </w:tc>
        <w:tc>
          <w:tcPr>
            <w:tcW w:w="7087" w:type="dxa"/>
            <w:vAlign w:val="center"/>
          </w:tcPr>
          <w:p w14:paraId="12F6E241" w14:textId="47D7D435" w:rsidR="3F1E2EE9" w:rsidRPr="00B13AC4" w:rsidRDefault="3F1E2EE9" w:rsidP="000A0FCB">
            <w:r w:rsidRPr="00B13AC4">
              <w:t>75 minutes</w:t>
            </w:r>
          </w:p>
        </w:tc>
      </w:tr>
      <w:tr w:rsidR="435C73F7" w14:paraId="3FA357D4" w14:textId="77777777" w:rsidTr="513EF483">
        <w:trPr>
          <w:trHeight w:val="454"/>
        </w:trPr>
        <w:tc>
          <w:tcPr>
            <w:tcW w:w="2977" w:type="dxa"/>
            <w:vAlign w:val="center"/>
          </w:tcPr>
          <w:p w14:paraId="09FAF62D" w14:textId="1BF8303B" w:rsidR="435C73F7" w:rsidRPr="00B13AC4" w:rsidRDefault="0D8361B9" w:rsidP="000A0FCB">
            <w:r>
              <w:t>Exam Script Marking</w:t>
            </w:r>
            <w:r w:rsidR="00B2181F">
              <w:rPr>
                <w:rStyle w:val="FootnoteReference"/>
              </w:rPr>
              <w:footnoteReference w:id="2"/>
            </w:r>
            <w:r w:rsidR="1D281E60">
              <w:t xml:space="preserve"> &amp; Feedback</w:t>
            </w:r>
            <w:r>
              <w:t xml:space="preserve"> </w:t>
            </w:r>
            <w:r w:rsidR="318CB121">
              <w:t>(</w:t>
            </w:r>
            <w:r w:rsidR="61AF67D3">
              <w:t xml:space="preserve">formal </w:t>
            </w:r>
            <w:r w:rsidR="318CB121">
              <w:t>on-campus and online exams)</w:t>
            </w:r>
          </w:p>
        </w:tc>
        <w:tc>
          <w:tcPr>
            <w:tcW w:w="7087" w:type="dxa"/>
            <w:vAlign w:val="center"/>
          </w:tcPr>
          <w:p w14:paraId="46316068" w14:textId="427C5E8F" w:rsidR="0D8361B9" w:rsidRPr="00B13AC4" w:rsidRDefault="0D8361B9" w:rsidP="000A0FCB">
            <w:r>
              <w:t>minutes per script/</w:t>
            </w:r>
            <w:r w:rsidR="476870D0">
              <w:t>submission</w:t>
            </w:r>
            <w:r>
              <w:t>, including all questions.</w:t>
            </w:r>
          </w:p>
          <w:p w14:paraId="1F0376CE" w14:textId="4A4D7F82" w:rsidR="3F1E2EE9" w:rsidRPr="00B13AC4" w:rsidRDefault="3F1E2EE9" w:rsidP="720DF176">
            <w:pPr>
              <w:pStyle w:val="ListParagraph"/>
              <w:numPr>
                <w:ilvl w:val="0"/>
                <w:numId w:val="1"/>
              </w:numPr>
            </w:pPr>
            <w:proofErr w:type="gramStart"/>
            <w:r>
              <w:t>1.5 hour</w:t>
            </w:r>
            <w:proofErr w:type="gramEnd"/>
            <w:r>
              <w:t xml:space="preserve"> exam – 30 minutes</w:t>
            </w:r>
          </w:p>
          <w:p w14:paraId="019EF212" w14:textId="6BEAD556" w:rsidR="3F1E2EE9" w:rsidRPr="00B13AC4" w:rsidRDefault="3F1E2EE9" w:rsidP="720DF176">
            <w:pPr>
              <w:pStyle w:val="ListParagraph"/>
              <w:numPr>
                <w:ilvl w:val="0"/>
                <w:numId w:val="1"/>
              </w:numPr>
            </w:pPr>
            <w:proofErr w:type="gramStart"/>
            <w:r w:rsidRPr="00B13AC4">
              <w:t>2 hour</w:t>
            </w:r>
            <w:proofErr w:type="gramEnd"/>
            <w:r w:rsidRPr="00B13AC4">
              <w:t xml:space="preserve"> exam – 45 minutes</w:t>
            </w:r>
          </w:p>
          <w:p w14:paraId="5C187D1C" w14:textId="086C4853" w:rsidR="3F1E2EE9" w:rsidRPr="00B13AC4" w:rsidRDefault="3F1E2EE9" w:rsidP="720DF176">
            <w:pPr>
              <w:pStyle w:val="ListParagraph"/>
              <w:numPr>
                <w:ilvl w:val="0"/>
                <w:numId w:val="1"/>
              </w:numPr>
            </w:pPr>
            <w:proofErr w:type="gramStart"/>
            <w:r>
              <w:t>3 hour</w:t>
            </w:r>
            <w:proofErr w:type="gramEnd"/>
            <w:r>
              <w:t xml:space="preserve"> exam – 1 hour</w:t>
            </w:r>
          </w:p>
        </w:tc>
      </w:tr>
      <w:tr w:rsidR="435C73F7" w14:paraId="6CE502D2" w14:textId="77777777" w:rsidTr="513EF483">
        <w:trPr>
          <w:trHeight w:val="454"/>
        </w:trPr>
        <w:tc>
          <w:tcPr>
            <w:tcW w:w="2977" w:type="dxa"/>
            <w:vAlign w:val="center"/>
          </w:tcPr>
          <w:p w14:paraId="76E57767" w14:textId="7EB8DAE1" w:rsidR="4E45789A" w:rsidRPr="00B13AC4" w:rsidRDefault="4E45789A" w:rsidP="000A0FCB">
            <w:r w:rsidRPr="00B13AC4">
              <w:t>Group</w:t>
            </w:r>
            <w:r w:rsidR="2FAB750B" w:rsidRPr="00B13AC4">
              <w:t>/</w:t>
            </w:r>
            <w:r w:rsidR="0429A4FB" w:rsidRPr="00B13AC4">
              <w:t>I</w:t>
            </w:r>
            <w:r w:rsidR="2FAB750B" w:rsidRPr="00B13AC4">
              <w:t>ndividual</w:t>
            </w:r>
            <w:r w:rsidRPr="00B13AC4">
              <w:t xml:space="preserve"> Oral Presentation Written Feedback</w:t>
            </w:r>
          </w:p>
        </w:tc>
        <w:tc>
          <w:tcPr>
            <w:tcW w:w="7087" w:type="dxa"/>
            <w:vAlign w:val="center"/>
          </w:tcPr>
          <w:p w14:paraId="64525BC3" w14:textId="6C28A95F" w:rsidR="10DD6217" w:rsidRPr="00B13AC4" w:rsidRDefault="10DD6217" w:rsidP="5E412C10">
            <w:r>
              <w:t>30 minutes per feedback</w:t>
            </w:r>
          </w:p>
        </w:tc>
      </w:tr>
      <w:tr w:rsidR="435C73F7" w14:paraId="76F4A817" w14:textId="77777777" w:rsidTr="513EF483">
        <w:trPr>
          <w:trHeight w:val="454"/>
        </w:trPr>
        <w:tc>
          <w:tcPr>
            <w:tcW w:w="2977" w:type="dxa"/>
            <w:vAlign w:val="center"/>
          </w:tcPr>
          <w:p w14:paraId="751BDC8A" w14:textId="3E2A602C" w:rsidR="29A90952" w:rsidRPr="00B13AC4" w:rsidRDefault="29A90952" w:rsidP="000A0FCB">
            <w:r w:rsidRPr="00B13AC4">
              <w:t>Marking Tutorial Participation</w:t>
            </w:r>
          </w:p>
        </w:tc>
        <w:tc>
          <w:tcPr>
            <w:tcW w:w="7087" w:type="dxa"/>
            <w:vAlign w:val="center"/>
          </w:tcPr>
          <w:p w14:paraId="3B00FAAC" w14:textId="413E96B4" w:rsidR="001CB6BB" w:rsidRPr="00B13AC4" w:rsidRDefault="001CB6BB" w:rsidP="000A0FCB">
            <w:r w:rsidRPr="00B13AC4">
              <w:t xml:space="preserve">15 minutes per student </w:t>
            </w:r>
            <w:r w:rsidR="29A90952" w:rsidRPr="00B13AC4">
              <w:t>to be claimed at the end of the course.</w:t>
            </w:r>
          </w:p>
        </w:tc>
      </w:tr>
      <w:tr w:rsidR="435C73F7" w14:paraId="26AD025C" w14:textId="77777777" w:rsidTr="513EF483">
        <w:trPr>
          <w:trHeight w:val="454"/>
        </w:trPr>
        <w:tc>
          <w:tcPr>
            <w:tcW w:w="2977" w:type="dxa"/>
            <w:vAlign w:val="center"/>
          </w:tcPr>
          <w:p w14:paraId="4D1663F7" w14:textId="064FA72B" w:rsidR="29A90952" w:rsidRPr="00B13AC4" w:rsidRDefault="29A90952" w:rsidP="000A0FCB">
            <w:r w:rsidRPr="00B13AC4">
              <w:t>Multiple Choice Exams</w:t>
            </w:r>
            <w:r w:rsidR="645FA236" w:rsidRPr="00B13AC4">
              <w:t xml:space="preserve"> (or other reduced effort type assessment)</w:t>
            </w:r>
          </w:p>
        </w:tc>
        <w:tc>
          <w:tcPr>
            <w:tcW w:w="7087" w:type="dxa"/>
            <w:vAlign w:val="center"/>
          </w:tcPr>
          <w:p w14:paraId="15C4C571" w14:textId="61148653" w:rsidR="11F76DB4" w:rsidRPr="00B13AC4" w:rsidRDefault="11F76DB4" w:rsidP="000A0FCB">
            <w:r>
              <w:t>15 minutes for each student/assessment</w:t>
            </w:r>
          </w:p>
          <w:p w14:paraId="7179EE26" w14:textId="2646225C" w:rsidR="5E412C10" w:rsidRDefault="5E412C10"/>
          <w:p w14:paraId="3341895E" w14:textId="448E6147" w:rsidR="435C73F7" w:rsidRPr="00B13AC4" w:rsidRDefault="249D31CE" w:rsidP="000A0FCB">
            <w:r w:rsidRPr="006E56A2">
              <w:t xml:space="preserve">This rate covers items such as </w:t>
            </w:r>
            <w:r w:rsidR="59AF51F6" w:rsidRPr="006E56A2">
              <w:t>multiple-choice</w:t>
            </w:r>
            <w:r w:rsidRPr="006E56A2">
              <w:t xml:space="preserve"> tests/ online tests and tests with </w:t>
            </w:r>
            <w:r w:rsidR="4BF9ECC4" w:rsidRPr="006E56A2">
              <w:t>semi-automatic</w:t>
            </w:r>
            <w:r w:rsidRPr="006E56A2">
              <w:t xml:space="preserve"> scoring.</w:t>
            </w:r>
          </w:p>
        </w:tc>
      </w:tr>
      <w:tr w:rsidR="435C73F7" w14:paraId="23728368" w14:textId="77777777" w:rsidTr="513EF483">
        <w:trPr>
          <w:trHeight w:val="454"/>
        </w:trPr>
        <w:tc>
          <w:tcPr>
            <w:tcW w:w="2977" w:type="dxa"/>
            <w:vAlign w:val="center"/>
          </w:tcPr>
          <w:p w14:paraId="49D6848D" w14:textId="5E871EBD" w:rsidR="159DF270" w:rsidRPr="00B13AC4" w:rsidRDefault="159DF270" w:rsidP="000A0FCB">
            <w:r w:rsidRPr="00B13AC4">
              <w:t xml:space="preserve">Marking only (for those carrying out marking on a course they are not tutoring </w:t>
            </w:r>
            <w:r w:rsidR="5A94048D" w:rsidRPr="00B13AC4">
              <w:t xml:space="preserve">on). </w:t>
            </w:r>
          </w:p>
        </w:tc>
        <w:tc>
          <w:tcPr>
            <w:tcW w:w="7087" w:type="dxa"/>
            <w:vAlign w:val="center"/>
          </w:tcPr>
          <w:p w14:paraId="7B22190A" w14:textId="6B623F90" w:rsidR="5A94048D" w:rsidRPr="00B13AC4" w:rsidRDefault="5A94048D" w:rsidP="000A0FCB">
            <w:r w:rsidRPr="00B13AC4">
              <w:t xml:space="preserve">Standard marking rates can be claimed as per the above. </w:t>
            </w:r>
            <w:r w:rsidR="46C4DF65">
              <w:t xml:space="preserve"> In addition:</w:t>
            </w:r>
          </w:p>
          <w:p w14:paraId="39B0991E" w14:textId="725CC586" w:rsidR="5A94048D" w:rsidRPr="00B13AC4" w:rsidRDefault="5A94048D" w:rsidP="720DF176">
            <w:pPr>
              <w:pStyle w:val="ListParagraph"/>
              <w:numPr>
                <w:ilvl w:val="0"/>
                <w:numId w:val="2"/>
              </w:numPr>
            </w:pPr>
            <w:r w:rsidRPr="00B13AC4">
              <w:t>1 hour can be claimed for attending marking meeting(s)</w:t>
            </w:r>
          </w:p>
          <w:p w14:paraId="2F76C7BF" w14:textId="6AE5E285" w:rsidR="5A94048D" w:rsidRPr="00B13AC4" w:rsidRDefault="5A94048D" w:rsidP="720DF176">
            <w:pPr>
              <w:pStyle w:val="ListParagraph"/>
              <w:numPr>
                <w:ilvl w:val="0"/>
                <w:numId w:val="2"/>
              </w:numPr>
            </w:pPr>
            <w:r w:rsidRPr="00B13AC4">
              <w:t>3 hours can be claimed for preparation.</w:t>
            </w:r>
          </w:p>
        </w:tc>
      </w:tr>
    </w:tbl>
    <w:p w14:paraId="439AD8C0" w14:textId="7970A3CA" w:rsidR="435C73F7" w:rsidRDefault="435C73F7" w:rsidP="25D0A405">
      <w:pPr>
        <w:pStyle w:val="BodyText"/>
        <w:spacing w:before="1"/>
        <w:rPr>
          <w:b/>
          <w:bCs/>
        </w:rPr>
      </w:pPr>
    </w:p>
    <w:p w14:paraId="4D523841" w14:textId="31A1079F" w:rsidR="3C45771A" w:rsidRDefault="3C45771A" w:rsidP="000F407F">
      <w:pPr>
        <w:spacing w:after="160" w:line="257" w:lineRule="auto"/>
        <w:rPr>
          <w:color w:val="000000" w:themeColor="text1"/>
        </w:rPr>
      </w:pPr>
      <w:r w:rsidRPr="513EF483">
        <w:rPr>
          <w:color w:val="000000" w:themeColor="text1"/>
        </w:rPr>
        <w:t xml:space="preserve">It is the responsibility of the Course Organiser to ensure that assessments on their course comply with the </w:t>
      </w:r>
      <w:proofErr w:type="gramStart"/>
      <w:r w:rsidRPr="513EF483">
        <w:rPr>
          <w:color w:val="000000" w:themeColor="text1"/>
        </w:rPr>
        <w:t>School’s</w:t>
      </w:r>
      <w:proofErr w:type="gramEnd"/>
      <w:r w:rsidRPr="513EF483">
        <w:rPr>
          <w:color w:val="000000" w:themeColor="text1"/>
        </w:rPr>
        <w:t xml:space="preserve"> marking rates. Any marking a tutor is asked to undertake must comply with the listed rates.</w:t>
      </w:r>
    </w:p>
    <w:p w14:paraId="021744AB" w14:textId="04F44325" w:rsidR="513EF483" w:rsidRDefault="513EF483" w:rsidP="513EF483">
      <w:pPr>
        <w:pStyle w:val="BodyText"/>
        <w:spacing w:line="249" w:lineRule="auto"/>
        <w:ind w:left="127" w:hanging="11"/>
      </w:pPr>
    </w:p>
    <w:p w14:paraId="113BCFFE" w14:textId="2A31A16C" w:rsidR="54AFEECE" w:rsidRDefault="54AFEECE" w:rsidP="47F3E175">
      <w:pPr>
        <w:pStyle w:val="BodyText"/>
        <w:spacing w:line="249" w:lineRule="auto"/>
        <w:ind w:left="127" w:hanging="11"/>
      </w:pPr>
      <w:r>
        <w:t xml:space="preserve">If you are asked to undertake any work for which a rate is not listed above or in the tutor model, please contact </w:t>
      </w:r>
      <w:r w:rsidRPr="47F3E175">
        <w:rPr>
          <w:color w:val="0000FF"/>
          <w:u w:val="single"/>
        </w:rPr>
        <w:t>sps.tutoring@ed.ac.uk</w:t>
      </w:r>
      <w:r>
        <w:t xml:space="preserve"> </w:t>
      </w:r>
      <w:r w:rsidRPr="47F3E175">
        <w:rPr>
          <w:b/>
          <w:bCs/>
          <w:u w:val="single"/>
        </w:rPr>
        <w:t>before</w:t>
      </w:r>
      <w:r w:rsidRPr="47F3E175">
        <w:rPr>
          <w:b/>
          <w:bCs/>
        </w:rPr>
        <w:t xml:space="preserve"> </w:t>
      </w:r>
      <w:r>
        <w:t>undertaking or agreeing to the work.  You may wish to advise the course organiser to get in touch with us on your behalf so that we can discuss this with them.</w:t>
      </w:r>
    </w:p>
    <w:p w14:paraId="5E108D20" w14:textId="50943DD5" w:rsidR="47F3E175" w:rsidRDefault="47F3E175" w:rsidP="47F3E175">
      <w:pPr>
        <w:pStyle w:val="BodyText"/>
        <w:spacing w:before="1"/>
        <w:rPr>
          <w:color w:val="1F4D78"/>
        </w:rPr>
      </w:pPr>
    </w:p>
    <w:p w14:paraId="7E4FBB6F" w14:textId="0782CE11" w:rsidR="009A374D" w:rsidRDefault="008F2143" w:rsidP="00612D40">
      <w:pPr>
        <w:pStyle w:val="Heading2"/>
        <w:ind w:left="142"/>
        <w:rPr>
          <w:rFonts w:asciiTheme="minorHAnsi" w:eastAsiaTheme="minorEastAsia" w:hAnsiTheme="minorHAnsi" w:cstheme="minorBidi"/>
        </w:rPr>
      </w:pPr>
      <w:r>
        <w:rPr>
          <w:rFonts w:asciiTheme="minorHAnsi" w:eastAsiaTheme="minorEastAsia" w:hAnsiTheme="minorHAnsi" w:cstheme="minorBidi"/>
        </w:rPr>
        <w:t>Moderation</w:t>
      </w:r>
    </w:p>
    <w:p w14:paraId="3656B9AB" w14:textId="72DB1169" w:rsidR="006355C9" w:rsidRDefault="5D7A1632" w:rsidP="005A6773">
      <w:pPr>
        <w:pStyle w:val="BodyText"/>
        <w:spacing w:line="249" w:lineRule="auto"/>
        <w:ind w:left="116"/>
        <w:rPr>
          <w:color w:val="1F4D78"/>
        </w:rPr>
      </w:pPr>
      <w:r>
        <w:t xml:space="preserve">Please note that tutors </w:t>
      </w:r>
      <w:r w:rsidR="200A2074" w:rsidRPr="47F3E175">
        <w:rPr>
          <w:b/>
          <w:bCs/>
          <w:u w:val="single"/>
        </w:rPr>
        <w:t>must not</w:t>
      </w:r>
      <w:r>
        <w:t xml:space="preserve"> act as moderators for course assessments.</w:t>
      </w:r>
      <w:r w:rsidR="009A374D">
        <w:t xml:space="preserve"> Tutors may be asked to attend additional marking standards meetings with course organisers to support the moderation </w:t>
      </w:r>
      <w:r w:rsidR="009A374D">
        <w:lastRenderedPageBreak/>
        <w:t>process, but they are not moderating the work themselves. These additional meetings support the development of the tutors and therefore tutors should claim this out of their CPD/training hours for the semester.</w:t>
      </w:r>
      <w:r w:rsidR="00175EC4">
        <w:rPr>
          <w:color w:val="1F4D78"/>
        </w:rPr>
        <w:t xml:space="preserve">  </w:t>
      </w:r>
    </w:p>
    <w:sectPr w:rsidR="006355C9" w:rsidSect="00C83B0C">
      <w:headerReference w:type="default" r:id="rId11"/>
      <w:footerReference w:type="default" r:id="rId12"/>
      <w:type w:val="continuous"/>
      <w:pgSz w:w="12240" w:h="15840"/>
      <w:pgMar w:top="993"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5804" w14:textId="77777777" w:rsidR="00455E57" w:rsidRDefault="00455E57" w:rsidP="00FE49B4">
      <w:r>
        <w:separator/>
      </w:r>
    </w:p>
  </w:endnote>
  <w:endnote w:type="continuationSeparator" w:id="0">
    <w:p w14:paraId="61E675BB" w14:textId="77777777" w:rsidR="00455E57" w:rsidRDefault="00455E57" w:rsidP="00FE49B4">
      <w:r>
        <w:continuationSeparator/>
      </w:r>
    </w:p>
  </w:endnote>
  <w:endnote w:type="continuationNotice" w:id="1">
    <w:p w14:paraId="5C9D81FB" w14:textId="77777777" w:rsidR="00455E57" w:rsidRDefault="0045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6027" w14:textId="4DED85E1" w:rsidR="00FE49B4" w:rsidRPr="00FE49B4" w:rsidRDefault="00FE49B4" w:rsidP="07DFA277">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2D2D" w14:textId="77777777" w:rsidR="00455E57" w:rsidRDefault="00455E57" w:rsidP="00FE49B4">
      <w:r>
        <w:separator/>
      </w:r>
    </w:p>
  </w:footnote>
  <w:footnote w:type="continuationSeparator" w:id="0">
    <w:p w14:paraId="578AD27E" w14:textId="77777777" w:rsidR="00455E57" w:rsidRDefault="00455E57" w:rsidP="00FE49B4">
      <w:r>
        <w:continuationSeparator/>
      </w:r>
    </w:p>
  </w:footnote>
  <w:footnote w:type="continuationNotice" w:id="1">
    <w:p w14:paraId="14B22FF9" w14:textId="77777777" w:rsidR="00455E57" w:rsidRDefault="00455E57"/>
  </w:footnote>
  <w:footnote w:id="2">
    <w:p w14:paraId="202ACB6C" w14:textId="77777777" w:rsidR="00B2181F" w:rsidRPr="008F2143" w:rsidRDefault="00B2181F" w:rsidP="00B2181F">
      <w:pPr>
        <w:pStyle w:val="Heading2"/>
        <w:spacing w:line="259" w:lineRule="auto"/>
        <w:rPr>
          <w:rFonts w:asciiTheme="minorHAnsi" w:eastAsiaTheme="minorEastAsia" w:hAnsiTheme="minorHAnsi" w:cstheme="minorBidi"/>
          <w:sz w:val="22"/>
          <w:szCs w:val="22"/>
        </w:rPr>
      </w:pPr>
      <w:r w:rsidRPr="008F2143">
        <w:rPr>
          <w:rStyle w:val="FootnoteReference"/>
          <w:sz w:val="22"/>
          <w:szCs w:val="22"/>
        </w:rPr>
        <w:footnoteRef/>
      </w:r>
      <w:r w:rsidRPr="008F2143">
        <w:rPr>
          <w:sz w:val="22"/>
          <w:szCs w:val="22"/>
        </w:rPr>
        <w:t xml:space="preserve"> </w:t>
      </w:r>
      <w:r w:rsidRPr="008F2143">
        <w:rPr>
          <w:rFonts w:asciiTheme="minorHAnsi" w:eastAsiaTheme="minorEastAsia" w:hAnsiTheme="minorHAnsi" w:cstheme="minorBidi"/>
          <w:sz w:val="22"/>
          <w:szCs w:val="22"/>
        </w:rPr>
        <w:t>Note on marking on-campus exam scripts</w:t>
      </w:r>
    </w:p>
    <w:p w14:paraId="24CAC467" w14:textId="26C672C4" w:rsidR="00B2181F" w:rsidRPr="008F2143" w:rsidRDefault="00B2181F" w:rsidP="00B2181F">
      <w:pPr>
        <w:pStyle w:val="BodyText"/>
        <w:spacing w:before="1" w:line="249" w:lineRule="auto"/>
        <w:ind w:left="127" w:hanging="11"/>
        <w:rPr>
          <w:sz w:val="20"/>
          <w:szCs w:val="20"/>
        </w:rPr>
      </w:pPr>
      <w:r w:rsidRPr="008F2143">
        <w:rPr>
          <w:sz w:val="20"/>
          <w:szCs w:val="20"/>
        </w:rPr>
        <w:t>Some examinations are held on-campus and students handwrite their answers on examination scripts. If you are a tutor on a course that has an on-campus examination, you will need to be able to collect the hard-copy scripts from the Teaching Office as soon as possible after the exam to mark them (</w:t>
      </w:r>
      <w:r w:rsidR="005A6773">
        <w:rPr>
          <w:sz w:val="20"/>
          <w:szCs w:val="20"/>
        </w:rPr>
        <w:t xml:space="preserve">approx. </w:t>
      </w:r>
      <w:r w:rsidRPr="008F2143">
        <w:rPr>
          <w:sz w:val="20"/>
          <w:szCs w:val="20"/>
        </w:rPr>
        <w:t xml:space="preserve">mid-December and mid-May). See </w:t>
      </w:r>
      <w:hyperlink r:id="rId1">
        <w:r w:rsidR="006F27EF">
          <w:rPr>
            <w:rStyle w:val="Hyperlink"/>
            <w:sz w:val="20"/>
            <w:szCs w:val="20"/>
          </w:rPr>
          <w:t>UoE Semester dates 2025-26</w:t>
        </w:r>
      </w:hyperlink>
      <w:r w:rsidRPr="008F2143">
        <w:rPr>
          <w:sz w:val="20"/>
          <w:szCs w:val="20"/>
        </w:rPr>
        <w:t xml:space="preserve"> for dates of the examination diets.</w:t>
      </w:r>
    </w:p>
    <w:p w14:paraId="1B5F0FF7" w14:textId="11DD78EA" w:rsidR="00B2181F" w:rsidRDefault="00B218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10"/>
      <w:gridCol w:w="3410"/>
      <w:gridCol w:w="3410"/>
    </w:tblGrid>
    <w:tr w:rsidR="74DAD60A" w14:paraId="41183B59" w14:textId="77777777" w:rsidTr="006E56A2">
      <w:trPr>
        <w:trHeight w:val="300"/>
      </w:trPr>
      <w:tc>
        <w:tcPr>
          <w:tcW w:w="3410" w:type="dxa"/>
        </w:tcPr>
        <w:p w14:paraId="7B1AAE59" w14:textId="160FDA58" w:rsidR="74DAD60A" w:rsidRDefault="74DAD60A" w:rsidP="006E56A2">
          <w:pPr>
            <w:pStyle w:val="Header"/>
            <w:ind w:left="-115"/>
          </w:pPr>
        </w:p>
      </w:tc>
      <w:tc>
        <w:tcPr>
          <w:tcW w:w="3410" w:type="dxa"/>
        </w:tcPr>
        <w:p w14:paraId="7B5E249E" w14:textId="43645434" w:rsidR="74DAD60A" w:rsidRDefault="74DAD60A" w:rsidP="006E56A2">
          <w:pPr>
            <w:pStyle w:val="Header"/>
            <w:jc w:val="center"/>
          </w:pPr>
        </w:p>
      </w:tc>
      <w:tc>
        <w:tcPr>
          <w:tcW w:w="3410" w:type="dxa"/>
        </w:tcPr>
        <w:p w14:paraId="21983F89" w14:textId="3A81D47B" w:rsidR="74DAD60A" w:rsidRDefault="74DAD60A" w:rsidP="006E56A2">
          <w:pPr>
            <w:pStyle w:val="Header"/>
            <w:ind w:right="-115"/>
            <w:jc w:val="right"/>
          </w:pPr>
        </w:p>
      </w:tc>
    </w:tr>
  </w:tbl>
  <w:p w14:paraId="6280962E" w14:textId="02F90D5F" w:rsidR="74DAD60A" w:rsidRDefault="74DAD60A" w:rsidP="006E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25E8"/>
    <w:multiLevelType w:val="hybridMultilevel"/>
    <w:tmpl w:val="2698F296"/>
    <w:lvl w:ilvl="0" w:tplc="29A03EDE">
      <w:start w:val="1"/>
      <w:numFmt w:val="bullet"/>
      <w:lvlText w:val=""/>
      <w:lvlJc w:val="left"/>
      <w:pPr>
        <w:ind w:left="720" w:hanging="360"/>
      </w:pPr>
      <w:rPr>
        <w:rFonts w:ascii="Symbol" w:hAnsi="Symbol" w:hint="default"/>
      </w:rPr>
    </w:lvl>
    <w:lvl w:ilvl="1" w:tplc="3C8A0D46">
      <w:start w:val="1"/>
      <w:numFmt w:val="bullet"/>
      <w:lvlText w:val="o"/>
      <w:lvlJc w:val="left"/>
      <w:pPr>
        <w:ind w:left="1440" w:hanging="360"/>
      </w:pPr>
      <w:rPr>
        <w:rFonts w:ascii="Courier New" w:hAnsi="Courier New" w:hint="default"/>
      </w:rPr>
    </w:lvl>
    <w:lvl w:ilvl="2" w:tplc="9AC4CFC2">
      <w:start w:val="1"/>
      <w:numFmt w:val="bullet"/>
      <w:lvlText w:val=""/>
      <w:lvlJc w:val="left"/>
      <w:pPr>
        <w:ind w:left="2160" w:hanging="360"/>
      </w:pPr>
      <w:rPr>
        <w:rFonts w:ascii="Wingdings" w:hAnsi="Wingdings" w:hint="default"/>
      </w:rPr>
    </w:lvl>
    <w:lvl w:ilvl="3" w:tplc="E8547742">
      <w:start w:val="1"/>
      <w:numFmt w:val="bullet"/>
      <w:lvlText w:val=""/>
      <w:lvlJc w:val="left"/>
      <w:pPr>
        <w:ind w:left="2880" w:hanging="360"/>
      </w:pPr>
      <w:rPr>
        <w:rFonts w:ascii="Symbol" w:hAnsi="Symbol" w:hint="default"/>
      </w:rPr>
    </w:lvl>
    <w:lvl w:ilvl="4" w:tplc="AE6016E6">
      <w:start w:val="1"/>
      <w:numFmt w:val="bullet"/>
      <w:lvlText w:val="o"/>
      <w:lvlJc w:val="left"/>
      <w:pPr>
        <w:ind w:left="3600" w:hanging="360"/>
      </w:pPr>
      <w:rPr>
        <w:rFonts w:ascii="Courier New" w:hAnsi="Courier New" w:hint="default"/>
      </w:rPr>
    </w:lvl>
    <w:lvl w:ilvl="5" w:tplc="B4BE4E3C">
      <w:start w:val="1"/>
      <w:numFmt w:val="bullet"/>
      <w:lvlText w:val=""/>
      <w:lvlJc w:val="left"/>
      <w:pPr>
        <w:ind w:left="4320" w:hanging="360"/>
      </w:pPr>
      <w:rPr>
        <w:rFonts w:ascii="Wingdings" w:hAnsi="Wingdings" w:hint="default"/>
      </w:rPr>
    </w:lvl>
    <w:lvl w:ilvl="6" w:tplc="D2D02F62">
      <w:start w:val="1"/>
      <w:numFmt w:val="bullet"/>
      <w:lvlText w:val=""/>
      <w:lvlJc w:val="left"/>
      <w:pPr>
        <w:ind w:left="5040" w:hanging="360"/>
      </w:pPr>
      <w:rPr>
        <w:rFonts w:ascii="Symbol" w:hAnsi="Symbol" w:hint="default"/>
      </w:rPr>
    </w:lvl>
    <w:lvl w:ilvl="7" w:tplc="2D4ACE2A">
      <w:start w:val="1"/>
      <w:numFmt w:val="bullet"/>
      <w:lvlText w:val="o"/>
      <w:lvlJc w:val="left"/>
      <w:pPr>
        <w:ind w:left="5760" w:hanging="360"/>
      </w:pPr>
      <w:rPr>
        <w:rFonts w:ascii="Courier New" w:hAnsi="Courier New" w:hint="default"/>
      </w:rPr>
    </w:lvl>
    <w:lvl w:ilvl="8" w:tplc="CD12C50E">
      <w:start w:val="1"/>
      <w:numFmt w:val="bullet"/>
      <w:lvlText w:val=""/>
      <w:lvlJc w:val="left"/>
      <w:pPr>
        <w:ind w:left="6480" w:hanging="360"/>
      </w:pPr>
      <w:rPr>
        <w:rFonts w:ascii="Wingdings" w:hAnsi="Wingdings" w:hint="default"/>
      </w:rPr>
    </w:lvl>
  </w:abstractNum>
  <w:abstractNum w:abstractNumId="1" w15:restartNumberingAfterBreak="0">
    <w:nsid w:val="245F0DAE"/>
    <w:multiLevelType w:val="hybridMultilevel"/>
    <w:tmpl w:val="3120EB9E"/>
    <w:lvl w:ilvl="0" w:tplc="C12EB6F4">
      <w:start w:val="1"/>
      <w:numFmt w:val="bullet"/>
      <w:lvlText w:val=""/>
      <w:lvlJc w:val="left"/>
      <w:pPr>
        <w:ind w:left="720" w:hanging="360"/>
      </w:pPr>
      <w:rPr>
        <w:rFonts w:ascii="Symbol" w:hAnsi="Symbol" w:hint="default"/>
      </w:rPr>
    </w:lvl>
    <w:lvl w:ilvl="1" w:tplc="56F8C05E">
      <w:start w:val="1"/>
      <w:numFmt w:val="bullet"/>
      <w:lvlText w:val="o"/>
      <w:lvlJc w:val="left"/>
      <w:pPr>
        <w:ind w:left="1440" w:hanging="360"/>
      </w:pPr>
      <w:rPr>
        <w:rFonts w:ascii="Courier New" w:hAnsi="Courier New" w:hint="default"/>
      </w:rPr>
    </w:lvl>
    <w:lvl w:ilvl="2" w:tplc="547C744E">
      <w:start w:val="1"/>
      <w:numFmt w:val="bullet"/>
      <w:lvlText w:val=""/>
      <w:lvlJc w:val="left"/>
      <w:pPr>
        <w:ind w:left="2160" w:hanging="360"/>
      </w:pPr>
      <w:rPr>
        <w:rFonts w:ascii="Wingdings" w:hAnsi="Wingdings" w:hint="default"/>
      </w:rPr>
    </w:lvl>
    <w:lvl w:ilvl="3" w:tplc="4B96412E">
      <w:start w:val="1"/>
      <w:numFmt w:val="bullet"/>
      <w:lvlText w:val=""/>
      <w:lvlJc w:val="left"/>
      <w:pPr>
        <w:ind w:left="2880" w:hanging="360"/>
      </w:pPr>
      <w:rPr>
        <w:rFonts w:ascii="Symbol" w:hAnsi="Symbol" w:hint="default"/>
      </w:rPr>
    </w:lvl>
    <w:lvl w:ilvl="4" w:tplc="0A7A54E8">
      <w:start w:val="1"/>
      <w:numFmt w:val="bullet"/>
      <w:lvlText w:val="o"/>
      <w:lvlJc w:val="left"/>
      <w:pPr>
        <w:ind w:left="3600" w:hanging="360"/>
      </w:pPr>
      <w:rPr>
        <w:rFonts w:ascii="Courier New" w:hAnsi="Courier New" w:hint="default"/>
      </w:rPr>
    </w:lvl>
    <w:lvl w:ilvl="5" w:tplc="BBCE636A">
      <w:start w:val="1"/>
      <w:numFmt w:val="bullet"/>
      <w:lvlText w:val=""/>
      <w:lvlJc w:val="left"/>
      <w:pPr>
        <w:ind w:left="4320" w:hanging="360"/>
      </w:pPr>
      <w:rPr>
        <w:rFonts w:ascii="Wingdings" w:hAnsi="Wingdings" w:hint="default"/>
      </w:rPr>
    </w:lvl>
    <w:lvl w:ilvl="6" w:tplc="3AF29F22">
      <w:start w:val="1"/>
      <w:numFmt w:val="bullet"/>
      <w:lvlText w:val=""/>
      <w:lvlJc w:val="left"/>
      <w:pPr>
        <w:ind w:left="5040" w:hanging="360"/>
      </w:pPr>
      <w:rPr>
        <w:rFonts w:ascii="Symbol" w:hAnsi="Symbol" w:hint="default"/>
      </w:rPr>
    </w:lvl>
    <w:lvl w:ilvl="7" w:tplc="480EA70E">
      <w:start w:val="1"/>
      <w:numFmt w:val="bullet"/>
      <w:lvlText w:val="o"/>
      <w:lvlJc w:val="left"/>
      <w:pPr>
        <w:ind w:left="5760" w:hanging="360"/>
      </w:pPr>
      <w:rPr>
        <w:rFonts w:ascii="Courier New" w:hAnsi="Courier New" w:hint="default"/>
      </w:rPr>
    </w:lvl>
    <w:lvl w:ilvl="8" w:tplc="4184B4C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DBE6A"/>
    <w:rsid w:val="000A0FCB"/>
    <w:rsid w:val="000F407F"/>
    <w:rsid w:val="00175EC4"/>
    <w:rsid w:val="00181FF0"/>
    <w:rsid w:val="001CB6BB"/>
    <w:rsid w:val="002D6D03"/>
    <w:rsid w:val="00334F00"/>
    <w:rsid w:val="00351E5C"/>
    <w:rsid w:val="00455E57"/>
    <w:rsid w:val="004A7CE2"/>
    <w:rsid w:val="00520C29"/>
    <w:rsid w:val="00574370"/>
    <w:rsid w:val="005A6773"/>
    <w:rsid w:val="00612D40"/>
    <w:rsid w:val="00624F10"/>
    <w:rsid w:val="006355C9"/>
    <w:rsid w:val="006E56A2"/>
    <w:rsid w:val="006F27EF"/>
    <w:rsid w:val="00713417"/>
    <w:rsid w:val="00890B8B"/>
    <w:rsid w:val="008F2143"/>
    <w:rsid w:val="009A374D"/>
    <w:rsid w:val="009A3F5F"/>
    <w:rsid w:val="009C1029"/>
    <w:rsid w:val="009F2D90"/>
    <w:rsid w:val="00A2745E"/>
    <w:rsid w:val="00AF7845"/>
    <w:rsid w:val="00B13AC4"/>
    <w:rsid w:val="00B2181F"/>
    <w:rsid w:val="00BB2D69"/>
    <w:rsid w:val="00BE1214"/>
    <w:rsid w:val="00C83B0C"/>
    <w:rsid w:val="00D2795A"/>
    <w:rsid w:val="00D67968"/>
    <w:rsid w:val="00DC35BA"/>
    <w:rsid w:val="00DE0B67"/>
    <w:rsid w:val="00E25918"/>
    <w:rsid w:val="00E25C4B"/>
    <w:rsid w:val="00E5007D"/>
    <w:rsid w:val="00EC0758"/>
    <w:rsid w:val="00FB3165"/>
    <w:rsid w:val="00FE49B4"/>
    <w:rsid w:val="014E8733"/>
    <w:rsid w:val="016308F2"/>
    <w:rsid w:val="03060873"/>
    <w:rsid w:val="03C2B54F"/>
    <w:rsid w:val="041F7DC8"/>
    <w:rsid w:val="0429A4FB"/>
    <w:rsid w:val="0480915B"/>
    <w:rsid w:val="0526CE21"/>
    <w:rsid w:val="053487D5"/>
    <w:rsid w:val="055E85B0"/>
    <w:rsid w:val="07DFA277"/>
    <w:rsid w:val="07F04F01"/>
    <w:rsid w:val="09B9D0BF"/>
    <w:rsid w:val="0A5BE281"/>
    <w:rsid w:val="0B264C5B"/>
    <w:rsid w:val="0B2ED8F1"/>
    <w:rsid w:val="0D8361B9"/>
    <w:rsid w:val="0DBE74FF"/>
    <w:rsid w:val="0E53F409"/>
    <w:rsid w:val="0F0B7440"/>
    <w:rsid w:val="10350562"/>
    <w:rsid w:val="10DD6217"/>
    <w:rsid w:val="11F265D6"/>
    <w:rsid w:val="11F76DB4"/>
    <w:rsid w:val="122D5F14"/>
    <w:rsid w:val="127F31A0"/>
    <w:rsid w:val="12936212"/>
    <w:rsid w:val="12F97626"/>
    <w:rsid w:val="133145DB"/>
    <w:rsid w:val="1349B55B"/>
    <w:rsid w:val="141B0201"/>
    <w:rsid w:val="143917DB"/>
    <w:rsid w:val="151A3E92"/>
    <w:rsid w:val="158BB325"/>
    <w:rsid w:val="159DF270"/>
    <w:rsid w:val="16134E82"/>
    <w:rsid w:val="16885D10"/>
    <w:rsid w:val="17E1BB65"/>
    <w:rsid w:val="19BB6A64"/>
    <w:rsid w:val="19E72C2D"/>
    <w:rsid w:val="1B44BBF8"/>
    <w:rsid w:val="1B4AB3DC"/>
    <w:rsid w:val="1B82FC8E"/>
    <w:rsid w:val="1C9654E2"/>
    <w:rsid w:val="1D281E60"/>
    <w:rsid w:val="1D2C8B5B"/>
    <w:rsid w:val="1D53AF1B"/>
    <w:rsid w:val="1D5AE7C4"/>
    <w:rsid w:val="1D9B4907"/>
    <w:rsid w:val="1E5EA5EE"/>
    <w:rsid w:val="1FF811F7"/>
    <w:rsid w:val="200A2074"/>
    <w:rsid w:val="214F34B9"/>
    <w:rsid w:val="21817008"/>
    <w:rsid w:val="2241F1AB"/>
    <w:rsid w:val="2263679D"/>
    <w:rsid w:val="2373A00C"/>
    <w:rsid w:val="249D31CE"/>
    <w:rsid w:val="254CACE8"/>
    <w:rsid w:val="25C46FC5"/>
    <w:rsid w:val="25D0A405"/>
    <w:rsid w:val="26191432"/>
    <w:rsid w:val="26E87D49"/>
    <w:rsid w:val="28676FC3"/>
    <w:rsid w:val="29A90952"/>
    <w:rsid w:val="29F859E1"/>
    <w:rsid w:val="2A6288C2"/>
    <w:rsid w:val="2AF4E90A"/>
    <w:rsid w:val="2C1BAF65"/>
    <w:rsid w:val="2C5DD6DB"/>
    <w:rsid w:val="2D1EA1F6"/>
    <w:rsid w:val="2D468364"/>
    <w:rsid w:val="2D976435"/>
    <w:rsid w:val="2E3C2023"/>
    <w:rsid w:val="2F2CE72D"/>
    <w:rsid w:val="2FAB750B"/>
    <w:rsid w:val="2FD7F084"/>
    <w:rsid w:val="30A66B79"/>
    <w:rsid w:val="30FE6DFC"/>
    <w:rsid w:val="3116D089"/>
    <w:rsid w:val="318CB121"/>
    <w:rsid w:val="33CE44AB"/>
    <w:rsid w:val="34A7F67C"/>
    <w:rsid w:val="35451355"/>
    <w:rsid w:val="3629D790"/>
    <w:rsid w:val="3759115C"/>
    <w:rsid w:val="37755AE1"/>
    <w:rsid w:val="3817E39E"/>
    <w:rsid w:val="3979C0DD"/>
    <w:rsid w:val="3A8DC6FC"/>
    <w:rsid w:val="3B9B2C7C"/>
    <w:rsid w:val="3C29975D"/>
    <w:rsid w:val="3C45771A"/>
    <w:rsid w:val="3C4DBE6A"/>
    <w:rsid w:val="3CEF3D0A"/>
    <w:rsid w:val="3D0AC902"/>
    <w:rsid w:val="3E20B903"/>
    <w:rsid w:val="3E32A0B4"/>
    <w:rsid w:val="3E8CA74D"/>
    <w:rsid w:val="3EF542D8"/>
    <w:rsid w:val="3F1E2EE9"/>
    <w:rsid w:val="3F47D373"/>
    <w:rsid w:val="3FD9DD8E"/>
    <w:rsid w:val="4026B845"/>
    <w:rsid w:val="40C2699C"/>
    <w:rsid w:val="4134DD60"/>
    <w:rsid w:val="413E0F06"/>
    <w:rsid w:val="41801DEF"/>
    <w:rsid w:val="41A5AFAE"/>
    <w:rsid w:val="41C288A6"/>
    <w:rsid w:val="41D8780A"/>
    <w:rsid w:val="427D709B"/>
    <w:rsid w:val="42A2FC64"/>
    <w:rsid w:val="42EC725F"/>
    <w:rsid w:val="435C73F7"/>
    <w:rsid w:val="4373DF95"/>
    <w:rsid w:val="440C6EEB"/>
    <w:rsid w:val="45585808"/>
    <w:rsid w:val="46106D0E"/>
    <w:rsid w:val="46581114"/>
    <w:rsid w:val="46C4DF65"/>
    <w:rsid w:val="46DBC5DC"/>
    <w:rsid w:val="46EFF64E"/>
    <w:rsid w:val="4743748A"/>
    <w:rsid w:val="476870D0"/>
    <w:rsid w:val="47F3E175"/>
    <w:rsid w:val="48352059"/>
    <w:rsid w:val="486541D8"/>
    <w:rsid w:val="4A029BBF"/>
    <w:rsid w:val="4A46BEB0"/>
    <w:rsid w:val="4ACBC8EF"/>
    <w:rsid w:val="4BAF44CF"/>
    <w:rsid w:val="4BF9ECC4"/>
    <w:rsid w:val="4C9C9B98"/>
    <w:rsid w:val="4DF3A34D"/>
    <w:rsid w:val="4E30CBDA"/>
    <w:rsid w:val="4E45789A"/>
    <w:rsid w:val="50D9C0C1"/>
    <w:rsid w:val="513EF483"/>
    <w:rsid w:val="536597F6"/>
    <w:rsid w:val="537A8547"/>
    <w:rsid w:val="538B82E2"/>
    <w:rsid w:val="53C44FB1"/>
    <w:rsid w:val="54116183"/>
    <w:rsid w:val="54AFEECE"/>
    <w:rsid w:val="54CD951F"/>
    <w:rsid w:val="57116B3A"/>
    <w:rsid w:val="57490245"/>
    <w:rsid w:val="57868AFC"/>
    <w:rsid w:val="578976CB"/>
    <w:rsid w:val="57A7BD3C"/>
    <w:rsid w:val="57C7A057"/>
    <w:rsid w:val="5969F3B4"/>
    <w:rsid w:val="59AF51F6"/>
    <w:rsid w:val="5A94048D"/>
    <w:rsid w:val="5ABB99B9"/>
    <w:rsid w:val="5B7AE42C"/>
    <w:rsid w:val="5C9FF55F"/>
    <w:rsid w:val="5CD9B78F"/>
    <w:rsid w:val="5D7A1632"/>
    <w:rsid w:val="5DA58F26"/>
    <w:rsid w:val="5DB5480C"/>
    <w:rsid w:val="5E412C10"/>
    <w:rsid w:val="5E5EC113"/>
    <w:rsid w:val="5F6718E0"/>
    <w:rsid w:val="5F9D4822"/>
    <w:rsid w:val="5FC00CDB"/>
    <w:rsid w:val="61736682"/>
    <w:rsid w:val="61AF67D3"/>
    <w:rsid w:val="62630ADE"/>
    <w:rsid w:val="6374D238"/>
    <w:rsid w:val="645FA236"/>
    <w:rsid w:val="657DC747"/>
    <w:rsid w:val="65F097CF"/>
    <w:rsid w:val="676B1580"/>
    <w:rsid w:val="6782A3DC"/>
    <w:rsid w:val="688351D1"/>
    <w:rsid w:val="68F929E6"/>
    <w:rsid w:val="6979807C"/>
    <w:rsid w:val="6A2D7E32"/>
    <w:rsid w:val="6B272C64"/>
    <w:rsid w:val="6CB00836"/>
    <w:rsid w:val="6D4A28FF"/>
    <w:rsid w:val="6D56646F"/>
    <w:rsid w:val="6DBBC3CD"/>
    <w:rsid w:val="6E1225ED"/>
    <w:rsid w:val="6E3CECC0"/>
    <w:rsid w:val="6E90B99E"/>
    <w:rsid w:val="6F58FD1D"/>
    <w:rsid w:val="6F6BA769"/>
    <w:rsid w:val="6F9DA4EE"/>
    <w:rsid w:val="6FB1611E"/>
    <w:rsid w:val="703DB0B5"/>
    <w:rsid w:val="710DC30A"/>
    <w:rsid w:val="71B92DF2"/>
    <w:rsid w:val="71BC41AF"/>
    <w:rsid w:val="71E0A2EB"/>
    <w:rsid w:val="720DF176"/>
    <w:rsid w:val="722CB517"/>
    <w:rsid w:val="7283287A"/>
    <w:rsid w:val="72A9936B"/>
    <w:rsid w:val="72BDBD7C"/>
    <w:rsid w:val="72BE95F0"/>
    <w:rsid w:val="73FC6D13"/>
    <w:rsid w:val="7401945A"/>
    <w:rsid w:val="74A0A2C3"/>
    <w:rsid w:val="74BF6EED"/>
    <w:rsid w:val="74C420A9"/>
    <w:rsid w:val="74D17FF1"/>
    <w:rsid w:val="74DAD60A"/>
    <w:rsid w:val="754FAE04"/>
    <w:rsid w:val="75C9CE03"/>
    <w:rsid w:val="763FC70B"/>
    <w:rsid w:val="76498C5C"/>
    <w:rsid w:val="772B9179"/>
    <w:rsid w:val="774BB6B2"/>
    <w:rsid w:val="7979D011"/>
    <w:rsid w:val="7AF4E767"/>
    <w:rsid w:val="7B1AC1BC"/>
    <w:rsid w:val="7B6C06C3"/>
    <w:rsid w:val="7BA02B19"/>
    <w:rsid w:val="7CA9AA9F"/>
    <w:rsid w:val="7CAFDDF1"/>
    <w:rsid w:val="7D9A8509"/>
    <w:rsid w:val="7DB4CF04"/>
    <w:rsid w:val="7DD0B9B3"/>
    <w:rsid w:val="7DEEE60F"/>
    <w:rsid w:val="7EA3BA70"/>
    <w:rsid w:val="7F47AAED"/>
    <w:rsid w:val="7F4F8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
      <w:ind w:left="186"/>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1"/>
      <w:ind w:left="107"/>
    </w:p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3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C4"/>
    <w:rPr>
      <w:rFonts w:ascii="Segoe UI" w:eastAsia="Calibri" w:hAnsi="Segoe UI" w:cs="Segoe UI"/>
      <w:sz w:val="18"/>
      <w:szCs w:val="18"/>
      <w:lang w:val="en-GB"/>
    </w:rPr>
  </w:style>
  <w:style w:type="paragraph" w:styleId="Header">
    <w:name w:val="header"/>
    <w:basedOn w:val="Normal"/>
    <w:link w:val="HeaderChar"/>
    <w:uiPriority w:val="99"/>
    <w:unhideWhenUsed/>
    <w:rsid w:val="00FE49B4"/>
    <w:pPr>
      <w:tabs>
        <w:tab w:val="center" w:pos="4513"/>
        <w:tab w:val="right" w:pos="9026"/>
      </w:tabs>
    </w:pPr>
  </w:style>
  <w:style w:type="character" w:customStyle="1" w:styleId="HeaderChar">
    <w:name w:val="Header Char"/>
    <w:basedOn w:val="DefaultParagraphFont"/>
    <w:link w:val="Header"/>
    <w:uiPriority w:val="99"/>
    <w:rsid w:val="00FE49B4"/>
    <w:rPr>
      <w:rFonts w:ascii="Calibri" w:eastAsia="Calibri" w:hAnsi="Calibri" w:cs="Calibri"/>
      <w:lang w:val="en-GB"/>
    </w:rPr>
  </w:style>
  <w:style w:type="paragraph" w:styleId="Footer">
    <w:name w:val="footer"/>
    <w:basedOn w:val="Normal"/>
    <w:link w:val="FooterChar"/>
    <w:uiPriority w:val="99"/>
    <w:unhideWhenUsed/>
    <w:rsid w:val="00FE49B4"/>
    <w:pPr>
      <w:tabs>
        <w:tab w:val="center" w:pos="4513"/>
        <w:tab w:val="right" w:pos="9026"/>
      </w:tabs>
    </w:pPr>
  </w:style>
  <w:style w:type="character" w:customStyle="1" w:styleId="FooterChar">
    <w:name w:val="Footer Char"/>
    <w:basedOn w:val="DefaultParagraphFont"/>
    <w:link w:val="Footer"/>
    <w:uiPriority w:val="99"/>
    <w:rsid w:val="00FE49B4"/>
    <w:rPr>
      <w:rFonts w:ascii="Calibri" w:eastAsia="Calibri" w:hAnsi="Calibri" w:cs="Calibri"/>
      <w:lang w:val="en-GB"/>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B2181F"/>
    <w:rPr>
      <w:sz w:val="20"/>
      <w:szCs w:val="20"/>
    </w:rPr>
  </w:style>
  <w:style w:type="character" w:customStyle="1" w:styleId="FootnoteTextChar">
    <w:name w:val="Footnote Text Char"/>
    <w:basedOn w:val="DefaultParagraphFont"/>
    <w:link w:val="FootnoteText"/>
    <w:uiPriority w:val="99"/>
    <w:semiHidden/>
    <w:rsid w:val="00B2181F"/>
    <w:rPr>
      <w:rFonts w:ascii="Calibri" w:eastAsia="Calibri" w:hAnsi="Calibri" w:cs="Calibri"/>
      <w:sz w:val="20"/>
      <w:szCs w:val="20"/>
      <w:lang w:val="en-GB"/>
    </w:rPr>
  </w:style>
  <w:style w:type="character" w:styleId="FootnoteReference">
    <w:name w:val="footnote reference"/>
    <w:basedOn w:val="DefaultParagraphFont"/>
    <w:uiPriority w:val="99"/>
    <w:semiHidden/>
    <w:unhideWhenUsed/>
    <w:rsid w:val="00B2181F"/>
    <w:rPr>
      <w:vertAlign w:val="superscript"/>
    </w:rPr>
  </w:style>
  <w:style w:type="paragraph" w:styleId="CommentSubject">
    <w:name w:val="annotation subject"/>
    <w:basedOn w:val="CommentText"/>
    <w:next w:val="CommentText"/>
    <w:link w:val="CommentSubjectChar"/>
    <w:uiPriority w:val="99"/>
    <w:semiHidden/>
    <w:unhideWhenUsed/>
    <w:rsid w:val="009F2D90"/>
    <w:rPr>
      <w:b/>
      <w:bCs/>
    </w:rPr>
  </w:style>
  <w:style w:type="character" w:customStyle="1" w:styleId="CommentSubjectChar">
    <w:name w:val="Comment Subject Char"/>
    <w:basedOn w:val="CommentTextChar"/>
    <w:link w:val="CommentSubject"/>
    <w:uiPriority w:val="99"/>
    <w:semiHidden/>
    <w:rsid w:val="009F2D90"/>
    <w:rPr>
      <w:rFonts w:ascii="Calibri" w:eastAsia="Calibri" w:hAnsi="Calibri" w:cs="Calibri"/>
      <w:b/>
      <w:bCs/>
      <w:sz w:val="20"/>
      <w:szCs w:val="20"/>
      <w:lang w:val="en-GB"/>
    </w:rPr>
  </w:style>
  <w:style w:type="character" w:styleId="Mention">
    <w:name w:val="Mention"/>
    <w:basedOn w:val="DefaultParagraphFont"/>
    <w:uiPriority w:val="99"/>
    <w:unhideWhenUsed/>
    <w:rsid w:val="009F2D90"/>
    <w:rPr>
      <w:color w:val="2B579A"/>
      <w:shd w:val="clear" w:color="auto" w:fill="E1DFDD"/>
    </w:rPr>
  </w:style>
  <w:style w:type="character" w:styleId="FollowedHyperlink">
    <w:name w:val="FollowedHyperlink"/>
    <w:basedOn w:val="DefaultParagraphFont"/>
    <w:uiPriority w:val="99"/>
    <w:semiHidden/>
    <w:unhideWhenUsed/>
    <w:rsid w:val="00520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mester-dates.ed.ac.uk/202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E844141F8BAE4A995BC208CBD52FAA" ma:contentTypeVersion="14" ma:contentTypeDescription="Create a new document." ma:contentTypeScope="" ma:versionID="37da29da928791f377104be13795ba8c">
  <xsd:schema xmlns:xsd="http://www.w3.org/2001/XMLSchema" xmlns:xs="http://www.w3.org/2001/XMLSchema" xmlns:p="http://schemas.microsoft.com/office/2006/metadata/properties" xmlns:ns2="7f79f23e-82e3-49a5-b1f5-4b72b326e0b3" xmlns:ns3="05b43aad-2ffc-436f-a7bd-ccc390b3a591" targetNamespace="http://schemas.microsoft.com/office/2006/metadata/properties" ma:root="true" ma:fieldsID="3496b6c1176ae9f4b524dba73d8f3871" ns2:_="" ns3:_="">
    <xsd:import namespace="7f79f23e-82e3-49a5-b1f5-4b72b326e0b3"/>
    <xsd:import namespace="05b43aad-2ffc-436f-a7bd-ccc390b3a5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9f23e-82e3-49a5-b1f5-4b72b326e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2" nillable="true" ma:displayName="Comment" ma:format="Dropdown" ma:internalName="Com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43aad-2ffc-436f-a7bd-ccc390b3a5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7f79f23e-82e3-49a5-b1f5-4b72b326e0b3" xsi:nil="true"/>
  </documentManagement>
</p:properties>
</file>

<file path=customXml/itemProps1.xml><?xml version="1.0" encoding="utf-8"?>
<ds:datastoreItem xmlns:ds="http://schemas.openxmlformats.org/officeDocument/2006/customXml" ds:itemID="{1FC9745B-C6A7-4620-93BF-55870FBF49FA}">
  <ds:schemaRefs>
    <ds:schemaRef ds:uri="http://schemas.openxmlformats.org/officeDocument/2006/bibliography"/>
  </ds:schemaRefs>
</ds:datastoreItem>
</file>

<file path=customXml/itemProps2.xml><?xml version="1.0" encoding="utf-8"?>
<ds:datastoreItem xmlns:ds="http://schemas.openxmlformats.org/officeDocument/2006/customXml" ds:itemID="{ED19DE4F-6506-4CF3-99FA-E99713E5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9f23e-82e3-49a5-b1f5-4b72b326e0b3"/>
    <ds:schemaRef ds:uri="05b43aad-2ffc-436f-a7bd-ccc390b3a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4FCDA-B130-46E8-8C59-A1B4D88040D3}">
  <ds:schemaRefs>
    <ds:schemaRef ds:uri="http://schemas.microsoft.com/sharepoint/v3/contenttype/forms"/>
  </ds:schemaRefs>
</ds:datastoreItem>
</file>

<file path=customXml/itemProps4.xml><?xml version="1.0" encoding="utf-8"?>
<ds:datastoreItem xmlns:ds="http://schemas.openxmlformats.org/officeDocument/2006/customXml" ds:itemID="{212DFDF2-CE78-4200-BD3B-B2D5660B8B8C}">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7f79f23e-82e3-49a5-b1f5-4b72b326e0b3"/>
    <ds:schemaRef ds:uri="http://schemas.openxmlformats.org/package/2006/metadata/core-properties"/>
    <ds:schemaRef ds:uri="05b43aad-2ffc-436f-a7bd-ccc390b3a59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2025-05-08T08:11:00Z</dcterms:created>
  <dcterms:modified xsi:type="dcterms:W3CDTF">2025-05-08T08:11:00Z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0x0101007BE844141F8BAE4A995BC208CBD52FAA</vt:lpwstr>
  </property>
</Properties>
</file>